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3D" w:rsidRPr="00480FBF" w:rsidRDefault="00B5093D" w:rsidP="00B5093D">
      <w:pPr>
        <w:rPr>
          <w:sz w:val="44"/>
          <w:szCs w:val="44"/>
        </w:rPr>
      </w:pPr>
      <w:r w:rsidRPr="00480FBF">
        <w:rPr>
          <w:sz w:val="44"/>
          <w:szCs w:val="44"/>
        </w:rPr>
        <w:t>Vakbekwaam medewerker Bloem, Groen en Styling               Profiel 2</w:t>
      </w:r>
    </w:p>
    <w:tbl>
      <w:tblPr>
        <w:tblStyle w:val="Tabelraster4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B5093D" w:rsidTr="005E5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0"/>
        </w:trPr>
        <w:tc>
          <w:tcPr>
            <w:tcW w:w="392" w:type="dxa"/>
            <w:vMerge w:val="restart"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5093D" w:rsidRPr="00EB605C" w:rsidRDefault="00B5093D" w:rsidP="005E5F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F249F" wp14:editId="21ECC16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53631</wp:posOffset>
                      </wp:positionV>
                      <wp:extent cx="3337560" cy="4791710"/>
                      <wp:effectExtent l="0" t="0" r="15240" b="2794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560" cy="4791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093D" w:rsidRDefault="00B5093D" w:rsidP="00B5093D">
                                  <w:pPr>
                                    <w:pStyle w:val="Geenafstand"/>
                                  </w:pPr>
                                  <w:r>
                                    <w:t>In leerarrangement komen de volgende kerntaken en werkprocessen aan de orde:</w:t>
                                  </w: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</w:pPr>
                                  <w:r>
                                    <w:t xml:space="preserve">Kerntaak 1 </w:t>
                                  </w: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</w:pPr>
                                  <w:r>
                                    <w:t>Maken en verkopen van groene arrangementen.</w:t>
                                  </w: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numPr>
                                      <w:ilvl w:val="1"/>
                                      <w:numId w:val="2"/>
                                    </w:numPr>
                                  </w:pPr>
                                  <w:r>
                                    <w:t>Maakt bloemwerk, groene decoraties en/of presentaties.</w:t>
                                  </w: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numPr>
                                      <w:ilvl w:val="1"/>
                                      <w:numId w:val="2"/>
                                    </w:numPr>
                                  </w:pPr>
                                  <w:r>
                                    <w:t>Verzorgt groene producten     BPV opdrachten</w:t>
                                  </w: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</w:p>
                                <w:p w:rsidR="00B5093D" w:rsidRDefault="00B5093D" w:rsidP="00B5093D">
                                  <w:pPr>
                                    <w:pStyle w:val="Geenafstand"/>
                                    <w:ind w:left="360"/>
                                  </w:pPr>
                                  <w:r>
                                    <w:t>Profielkerntaak 1 werkproces 1.1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470.85pt;margin-top:4.2pt;width:262.8pt;height:3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" fillcolor="white [3201]" strokeweight=".5pt">
                      <v:textbox>
                        <w:txbxContent>
                          <w:p w:rsidR="00B5093D" w:rsidRDefault="00B5093D" w:rsidP="00B5093D">
                            <w:pPr>
                              <w:pStyle w:val="Geenafstand"/>
                            </w:pPr>
                            <w:r>
                              <w:t>In leerarrangement komen de volgende kerntaken en werkprocessen aan de orde:</w:t>
                            </w:r>
                          </w:p>
                          <w:p w:rsidR="00B5093D" w:rsidRDefault="00B5093D" w:rsidP="00B5093D">
                            <w:pPr>
                              <w:pStyle w:val="Geenafstand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</w:pPr>
                            <w:r>
                              <w:t xml:space="preserve">Kerntaak 1 </w:t>
                            </w:r>
                          </w:p>
                          <w:p w:rsidR="00B5093D" w:rsidRDefault="00B5093D" w:rsidP="00B5093D">
                            <w:pPr>
                              <w:pStyle w:val="Geenafstand"/>
                            </w:pPr>
                            <w:r>
                              <w:t>Maken en verkopen van groene arrangementen.</w:t>
                            </w:r>
                          </w:p>
                          <w:p w:rsidR="00B5093D" w:rsidRDefault="00B5093D" w:rsidP="00B5093D">
                            <w:pPr>
                              <w:pStyle w:val="Geenafstand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Maakt bloemwerk, groene decoraties en/of presentaties.</w:t>
                            </w:r>
                          </w:p>
                          <w:p w:rsidR="00B5093D" w:rsidRDefault="00B5093D" w:rsidP="00B5093D">
                            <w:pPr>
                              <w:pStyle w:val="Geenafstand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Verzorgt groene producten     BPV opdrachten</w:t>
                            </w: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</w:p>
                          <w:p w:rsidR="00B5093D" w:rsidRDefault="00B5093D" w:rsidP="00B5093D">
                            <w:pPr>
                              <w:pStyle w:val="Geenafstand"/>
                              <w:ind w:left="360"/>
                            </w:pPr>
                            <w:r>
                              <w:t>Profielkerntaak 1 werkproces 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093D" w:rsidRPr="00EB605C" w:rsidRDefault="00B5093D" w:rsidP="005E5F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Boeket en vazen</w:t>
            </w:r>
            <w:bookmarkStart w:id="0" w:name="_GoBack"/>
            <w:bookmarkEnd w:id="0"/>
            <w:r w:rsidRPr="00EB605C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Leerarrangement 1 </w:t>
            </w:r>
          </w:p>
          <w:p w:rsidR="00B5093D" w:rsidRPr="00EB605C" w:rsidRDefault="00B5093D" w:rsidP="005E5FF0">
            <w:pPr>
              <w:rPr>
                <w:rFonts w:ascii="Arial" w:hAnsi="Arial" w:cs="Arial"/>
                <w:szCs w:val="22"/>
              </w:rPr>
            </w:pPr>
          </w:p>
          <w:p w:rsidR="00B5093D" w:rsidRPr="00EB605C" w:rsidRDefault="00B5093D" w:rsidP="005E5FF0">
            <w:pPr>
              <w:rPr>
                <w:rFonts w:ascii="Arial" w:hAnsi="Arial" w:cs="Arial"/>
                <w:szCs w:val="22"/>
              </w:rPr>
            </w:pPr>
            <w:r w:rsidRPr="00EB605C">
              <w:rPr>
                <w:rFonts w:ascii="Arial" w:hAnsi="Arial" w:cs="Arial"/>
                <w:szCs w:val="22"/>
              </w:rPr>
              <w:t xml:space="preserve">In een leerarrangement zijn alle onderdelen gekoppeld rond een thema van het vak. </w:t>
            </w:r>
          </w:p>
          <w:p w:rsidR="00B5093D" w:rsidRPr="00EB605C" w:rsidRDefault="00B5093D" w:rsidP="005E5F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93D" w:rsidRPr="00EB605C" w:rsidRDefault="00B5093D" w:rsidP="005E5FF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Centraal staat</w:t>
            </w:r>
            <w:r w:rsidRPr="00EB605C">
              <w:rPr>
                <w:rFonts w:ascii="Arial" w:hAnsi="Arial" w:cs="Arial"/>
                <w:sz w:val="24"/>
              </w:rPr>
              <w:t xml:space="preserve"> het</w:t>
            </w:r>
            <w:r>
              <w:rPr>
                <w:rFonts w:ascii="Arial" w:hAnsi="Arial" w:cs="Arial"/>
                <w:sz w:val="24"/>
              </w:rPr>
              <w:t xml:space="preserve"> leren</w:t>
            </w:r>
            <w:r w:rsidRPr="00EB605C">
              <w:rPr>
                <w:rFonts w:ascii="Arial" w:hAnsi="Arial" w:cs="Arial"/>
                <w:sz w:val="24"/>
              </w:rPr>
              <w:t xml:space="preserve"> maken van een boeket, hierbij leer je alle bijkomende relevante zaken.</w:t>
            </w:r>
          </w:p>
          <w:p w:rsidR="00B5093D" w:rsidRPr="00EB605C" w:rsidRDefault="00B5093D" w:rsidP="005E5FF0">
            <w:pPr>
              <w:rPr>
                <w:rFonts w:ascii="Arial" w:hAnsi="Arial" w:cs="Arial"/>
                <w:szCs w:val="22"/>
              </w:rPr>
            </w:pPr>
          </w:p>
          <w:p w:rsidR="00B5093D" w:rsidRPr="00EB605C" w:rsidRDefault="00B5093D" w:rsidP="005E5FF0">
            <w:pPr>
              <w:rPr>
                <w:rFonts w:ascii="Arial" w:hAnsi="Arial" w:cs="Arial"/>
                <w:szCs w:val="22"/>
              </w:rPr>
            </w:pPr>
            <w:r w:rsidRPr="00EB605C">
              <w:rPr>
                <w:rFonts w:ascii="Arial" w:hAnsi="Arial" w:cs="Arial"/>
                <w:szCs w:val="22"/>
              </w:rPr>
              <w:t>In dit leerarrangement leer je het verwerken van de bloemen, op vaas zetten</w:t>
            </w:r>
            <w:r>
              <w:rPr>
                <w:rFonts w:ascii="Arial" w:hAnsi="Arial" w:cs="Arial"/>
                <w:szCs w:val="22"/>
              </w:rPr>
              <w:t>, vaas droog opmaken</w:t>
            </w:r>
            <w:r w:rsidRPr="00EB605C">
              <w:rPr>
                <w:rFonts w:ascii="Arial" w:hAnsi="Arial" w:cs="Arial"/>
                <w:szCs w:val="22"/>
              </w:rPr>
              <w:t xml:space="preserve"> en het maken van boeketten. Je leert zaken omtrent de kleuren en vormgeving, kennis over ondergronden en plantaardige materialen. En praktische zaken over winkelonderhoud, klantgesprek en prijzen. </w:t>
            </w:r>
          </w:p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</w:tr>
      <w:tr w:rsidR="00B5093D" w:rsidTr="005E5FF0">
        <w:trPr>
          <w:trHeight w:val="255"/>
        </w:trPr>
        <w:tc>
          <w:tcPr>
            <w:tcW w:w="392" w:type="dxa"/>
            <w:vMerge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5093D" w:rsidRPr="00EB605C" w:rsidRDefault="00B5093D" w:rsidP="005E5FF0">
            <w:pPr>
              <w:rPr>
                <w:rFonts w:ascii="Arial" w:hAnsi="Arial" w:cs="Arial"/>
                <w:sz w:val="28"/>
                <w:szCs w:val="28"/>
              </w:rPr>
            </w:pPr>
            <w:r w:rsidRPr="00EB605C">
              <w:rPr>
                <w:rFonts w:ascii="Arial" w:hAnsi="Arial" w:cs="Arial"/>
              </w:rPr>
              <w:t xml:space="preserve">Leerdoelen </w:t>
            </w:r>
          </w:p>
        </w:tc>
      </w:tr>
      <w:tr w:rsidR="00B5093D" w:rsidTr="005E5FF0">
        <w:trPr>
          <w:trHeight w:val="2505"/>
        </w:trPr>
        <w:tc>
          <w:tcPr>
            <w:tcW w:w="392" w:type="dxa"/>
            <w:vMerge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  <w:p w:rsidR="00B5093D" w:rsidRPr="00EB605C" w:rsidRDefault="00B5093D" w:rsidP="005E5FF0">
            <w:pPr>
              <w:rPr>
                <w:rFonts w:ascii="Arial" w:hAnsi="Arial" w:cs="Arial"/>
              </w:rPr>
            </w:pPr>
            <w:r w:rsidRPr="00EB605C">
              <w:rPr>
                <w:rFonts w:ascii="Arial" w:hAnsi="Arial" w:cs="Arial"/>
              </w:rPr>
              <w:t>Je kunt: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 xml:space="preserve">een economisch volwaardig boeket binden. 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 xml:space="preserve">de verkoop prijs kunnen berekenen. 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>vormgeving omschrijven en toepassen.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>kleurcontrasten omschrijven en toepassen.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>snijbloemen benoemen en schrijven (Nederlandse en Latijnse naam).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>je kennis over schoonmaak toepassen op BPV.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>de theoretische achtergronden van verkoopgesprek omschrijven.</w:t>
            </w:r>
          </w:p>
          <w:p w:rsidR="00B5093D" w:rsidRPr="00EB605C" w:rsidRDefault="00B5093D" w:rsidP="005E5FF0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 w:rsidRPr="00EB605C">
              <w:rPr>
                <w:rFonts w:cs="Arial"/>
              </w:rPr>
              <w:t>de voor- en nadelen van materiaal van vazen benoemen.</w:t>
            </w:r>
          </w:p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</w:tr>
      <w:tr w:rsidR="00B5093D" w:rsidTr="005E5FF0">
        <w:trPr>
          <w:trHeight w:val="225"/>
        </w:trPr>
        <w:tc>
          <w:tcPr>
            <w:tcW w:w="392" w:type="dxa"/>
            <w:vMerge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  <w:r w:rsidRPr="00EB605C">
              <w:rPr>
                <w:rFonts w:ascii="Arial" w:hAnsi="Arial" w:cs="Arial"/>
              </w:rPr>
              <w:t>Werkwijze:</w:t>
            </w:r>
          </w:p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</w:tr>
      <w:tr w:rsidR="00B5093D" w:rsidTr="005E5FF0">
        <w:trPr>
          <w:trHeight w:val="1155"/>
        </w:trPr>
        <w:tc>
          <w:tcPr>
            <w:tcW w:w="392" w:type="dxa"/>
            <w:vMerge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B5093D" w:rsidRPr="00EB605C" w:rsidRDefault="00B5093D" w:rsidP="005E5FF0">
            <w:pPr>
              <w:rPr>
                <w:rFonts w:ascii="Arial" w:hAnsi="Arial" w:cs="Arial"/>
              </w:rPr>
            </w:pPr>
            <w:r w:rsidRPr="00EB605C">
              <w:rPr>
                <w:rFonts w:ascii="Arial" w:hAnsi="Arial" w:cs="Arial"/>
              </w:rPr>
              <w:t xml:space="preserve">In pixelboek Bloemsierkunst 1 vind je de theoretische aspecten over bovenstaande. </w:t>
            </w:r>
          </w:p>
          <w:p w:rsidR="00B5093D" w:rsidRPr="00EB605C" w:rsidRDefault="00B5093D" w:rsidP="005E5FF0">
            <w:pPr>
              <w:rPr>
                <w:rFonts w:ascii="Arial" w:hAnsi="Arial" w:cs="Arial"/>
              </w:rPr>
            </w:pPr>
            <w:r w:rsidRPr="00EB605C">
              <w:rPr>
                <w:rFonts w:ascii="Arial" w:hAnsi="Arial" w:cs="Arial"/>
              </w:rPr>
              <w:t xml:space="preserve">In opdrachten Boeket en vaas vind je een planning van de opdrachten die als leidraad dient om dit alles je eigen te maken: </w:t>
            </w:r>
            <w:r w:rsidRPr="00EB605C">
              <w:rPr>
                <w:rFonts w:ascii="Arial" w:hAnsi="Arial" w:cs="Arial"/>
                <w:u w:val="single"/>
              </w:rPr>
              <w:t>‘het kunnen en het kennen’.</w:t>
            </w:r>
          </w:p>
          <w:p w:rsidR="00B5093D" w:rsidRPr="00EB605C" w:rsidRDefault="00B5093D" w:rsidP="005E5FF0">
            <w:pPr>
              <w:rPr>
                <w:rFonts w:ascii="Arial" w:hAnsi="Arial" w:cs="Arial"/>
              </w:rPr>
            </w:pPr>
          </w:p>
        </w:tc>
      </w:tr>
      <w:tr w:rsidR="00B5093D" w:rsidTr="005E5FF0">
        <w:tc>
          <w:tcPr>
            <w:tcW w:w="392" w:type="dxa"/>
          </w:tcPr>
          <w:p w:rsidR="00B5093D" w:rsidRDefault="00B5093D" w:rsidP="005E5FF0"/>
        </w:tc>
        <w:tc>
          <w:tcPr>
            <w:tcW w:w="8930" w:type="dxa"/>
          </w:tcPr>
          <w:p w:rsidR="00B5093D" w:rsidRDefault="00B5093D" w:rsidP="005E5FF0"/>
        </w:tc>
      </w:tr>
    </w:tbl>
    <w:p w:rsidR="00B5093D" w:rsidRDefault="00B5093D" w:rsidP="00B5093D"/>
    <w:sectPr w:rsidR="00B5093D" w:rsidSect="00B509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5F7"/>
    <w:multiLevelType w:val="multilevel"/>
    <w:tmpl w:val="71646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1005F24"/>
    <w:multiLevelType w:val="hybridMultilevel"/>
    <w:tmpl w:val="4A0654B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3D"/>
    <w:rsid w:val="00B24C80"/>
    <w:rsid w:val="00B5093D"/>
    <w:rsid w:val="00C7087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09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4">
    <w:name w:val="Table Grid 4"/>
    <w:basedOn w:val="Standaardtabel"/>
    <w:rsid w:val="00B509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alinea">
    <w:name w:val="List Paragraph"/>
    <w:basedOn w:val="Standaard"/>
    <w:uiPriority w:val="34"/>
    <w:qFormat/>
    <w:rsid w:val="00B509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4"/>
      <w:lang w:eastAsia="nl-NL"/>
    </w:rPr>
  </w:style>
  <w:style w:type="paragraph" w:styleId="Geenafstand">
    <w:name w:val="No Spacing"/>
    <w:uiPriority w:val="1"/>
    <w:qFormat/>
    <w:rsid w:val="00B50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09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4">
    <w:name w:val="Table Grid 4"/>
    <w:basedOn w:val="Standaardtabel"/>
    <w:rsid w:val="00B509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alinea">
    <w:name w:val="List Paragraph"/>
    <w:basedOn w:val="Standaard"/>
    <w:uiPriority w:val="34"/>
    <w:qFormat/>
    <w:rsid w:val="00B509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4"/>
      <w:lang w:eastAsia="nl-NL"/>
    </w:rPr>
  </w:style>
  <w:style w:type="paragraph" w:styleId="Geenafstand">
    <w:name w:val="No Spacing"/>
    <w:uiPriority w:val="1"/>
    <w:qFormat/>
    <w:rsid w:val="00B50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FB021AFC</Template>
  <TotalTime>4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Ferwerda</dc:creator>
  <cp:lastModifiedBy>Han Ferwerda</cp:lastModifiedBy>
  <cp:revision>1</cp:revision>
  <dcterms:created xsi:type="dcterms:W3CDTF">2013-12-04T09:12:00Z</dcterms:created>
  <dcterms:modified xsi:type="dcterms:W3CDTF">2013-12-04T09:16:00Z</dcterms:modified>
</cp:coreProperties>
</file>